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core.xml" Type="http://schemas.openxmlformats.org/package/2006/relationships/metadata/core-properties" Id="rId3"></Relationship><Relationship Target="docProps/thumbnail.emf" Type="http://schemas.openxmlformats.org/package/2006/relationships/metadata/thumbnail" Id="rId2"></Relationship><Relationship Target="word/document.xml" Type="http://schemas.openxmlformats.org/officeDocument/2006/relationships/officeDocument" Id="rId1"></Relationship><Relationship Target="docProps/app.xml" Type="http://schemas.openxmlformats.org/officeDocument/2006/relationships/extended-properties" Id="rId4"></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24759e17" w14:textId="24759e17">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Kahle-Drive-Complete-Street</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900000010321831</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Nevada Tahoe Conservation District, 400 Dorla Ct Zephyr Cove NV, </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Meghan Kelly</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pPr>
              <w:spacing w:beforeAutospacing="true" w:afterAutospacing="true"/>
            </w:pPr>
            <w:r>
              <w:rPr/>
              <w:t xml:space="preserve">Douglas County</w:t>
            </w: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pPr>
              <w:spacing w:beforeAutospacing="true" w:afterAutospacing="true"/>
            </w:pPr>
            <w:r>
              <w:rPr/>
              <w:t xml:space="preserve">Debbie Swickard</w:t>
            </w: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Stateline, NV 89449</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Kahle Drive from intersection of US-50 running west for 2300 linear feet in Stateline, Douglas County, Nevada</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Meghan Kelly</w:t>
            </w:r>
            <w:r>
              <w:rPr/>
              <w:br/>
              <w:t xml:space="preserve"/>
            </w:r>
            <w:r>
              <w:rPr/>
              <w:t xml:space="preserve">PO Box 915, Zephyr Cove, NV 89448</w:t>
            </w:r>
            <w:r>
              <w:rPr/>
              <w:br/>
              <w:t xml:space="preserve"/>
            </w:r>
            <w:r>
              <w:rPr/>
              <w:t xml:space="preserve">mkelly@ntcd.org</w:t>
            </w:r>
          </w:p>
        </w:tc>
      </w:tr>
    </w:tbl>
    <w:p/>
    <w:tbl>
      <w:tblPr>
        <w:tblStyle w:val="TableGrid"/>
        <w:tblpPr w:leftFromText="180" w:rightFromText="180" w:vertAnchor="text" w:horzAnchor="margin" w:tblpX="54" w:tblpY="164"/>
        <w:tblW w:w="87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700"/>
      </w:tblGrid>
      <w:tr>
        <w:trPr>
          <w:trHeight w:val="331"/>
        </w:trPr>
        <w:tc>
          <w:tcPr>
            <w:tcW w:w="8700" w:type="dxa"/>
          </w:tcPr>
          <w:p>
            <w:r>
              <w:rPr>
                <w:b/>
              </w:rPr>
              <w:t>Description of the Proposed Project [24 CFR 50.12 &amp; 58.32; 40 CFR 1508.25]:</w:t>
            </w:r>
          </w:p>
        </w:tc>
      </w:tr>
      <w:tr>
        <w:tc>
          <w:p>
            <w:pPr>
              <w:spacing w:beforeAutospacing="true" w:afterAutospacing="true"/>
              <w:jc w:val="left"/>
            </w:pPr>
            <w:r>
              <w:rPr>
                <w:rFonts w:ascii="Calibri" w:hAnsi="Calibri"/>
                <w:color w:val=""/>
                <w:sz w:val="22"/>
              </w:rPr>
              <w:t xml:space="preserve">The project proposes to transform Kahle Drive into a ''complete street'' by improving stormwater drainage and treatment, repairing wastewater infrastructure, adding sidewalks, bike lanes, crosswalks, and intersection safety improvements, and undergrounding overhead utilities and improving broadband quality in a census block group with one of the lowest median household incomes in Douglas County. This 0.5 mile collector road provides key linkages to the existing popular recreation facilities such as the Stateline to Stateline bike trail, trails throughout Rabe Meadow, and Kahle Community Center and County Park. The unemployment rate in this census block is twice the rate of the rest of Douglas County. The community is 98 percent occupied by primary residents with 90 percent being renters which is more than double the percentages in the surrounding region. Even though the Kahle block group is not classified as a Qualified Census Tract (QCT), it has a lower median household income than the two census tracts in Douglas County that are qualified QCTs. The total project size is approximately 5 acres and will result in rehabilitated 74,600 SF of road and curb and gutter, 11,500 SF of new sidewalk, and 3,300 SF of new Class 1 bike path. The project will also underground 2,300 linear feet of overhead power and communication lines, repair up to 15 sewer manholes. and upgrade stormwater drainage inlets and connections. The project footprint changes the surface area of the existing improvements by 15.7 percent from 91,550 SF to 105,890 sf.</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hyperlink r:id="rId13">
        <w:r>
          <w:rPr>
            <w:rStyle w:val="Hyperlink"/>
          </w:rPr>
          <w:t>KCS_ProjBoundary.jpg</w:t>
        </w:r>
      </w:hyperlink>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bookmarkStart w:id="0" w:name="_GoBack"/>
            <w:r>
              <w:rPr>
                <w:b/>
              </w:rPr>
              <w:t xml:space="preserve">Approximate size of the project area: </w:t>
            </w:r>
          </w:p>
        </w:tc>
        <w:tc>
          <w:tcPr>
            <w:tcW w:w="5130" w:type="dxa"/>
          </w:tcPr>
          <w:p>
            <w:pPr>
              <w:spacing w:beforeAutospacing="true" w:afterAutospacing="true"/>
            </w:pPr>
            <w:r>
              <w:rPr/>
              <w:t xml:space="preserve">1/8 square mile</w:t>
            </w:r>
          </w:p>
        </w:tc>
      </w:tr>
      <w:bookmarkEnd w:id="0"/>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5 Years</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6</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p>
            <w:pPr>
              <w:spacing w:beforeAutospacing="true" w:afterAutospacing="true"/>
              <w:jc w:val="left"/>
            </w:pPr>
            <w:r>
              <w:rPr>
                <w:rFonts w:ascii="Calibri" w:hAnsi="Calibri"/>
                <w:color w:val=""/>
                <w:sz w:val="22"/>
              </w:rPr>
              <w:t xml:space="preserve">58.35(a)(1)</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14">
        <w:r>
          <w:rPr>
            <w:rStyle w:val="Hyperlink"/>
          </w:rPr>
          <w:t>signature page flattened.pdf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p>
        </w:tc>
        <w:tc>
          <w:tcPr>
            <w:tcW w:w="4780" w:type="dxa"/>
          </w:tcPr>
          <w:p>
            <w:pPr>
              <w:rPr>
                <w:b/>
              </w:rPr>
            </w:pPr>
            <w:r>
              <w:rPr>
                <w:b/>
              </w:rPr>
              <w:t>Program Name</w:t>
            </w:r>
          </w:p>
        </w:tc>
      </w:tr>
      <w:tr>
        <w:tc>
          <w:p>
            <w:pPr>
              <w:spacing w:beforeAutospacing="true" w:afterAutospacing="true"/>
              <w:jc w:val="left"/>
            </w:pPr>
            <w:r>
              <w:rPr>
                <w:rFonts w:ascii="Calibri" w:hAnsi="Calibri"/>
                <w:color w:val=""/>
                <w:sz w:val="22"/>
              </w:rPr>
              <w:t xml:space="preserve">B-23-CP-NV-1075</w:t>
            </w:r>
          </w:p>
        </w:tc>
        <w:tc>
          <w:p>
            <w:pPr>
              <w:spacing w:beforeAutospacing="true" w:afterAutospacing="true"/>
              <w:jc w:val="left"/>
            </w:pPr>
            <w:r>
              <w:rPr>
                <w:rFonts w:ascii="Calibri" w:hAnsi="Calibri"/>
                <w:color w:val=""/>
                <w:sz w:val="22"/>
              </w:rPr>
              <w:t xml:space="preserve">Other</w:t>
            </w:r>
          </w:p>
        </w:tc>
        <w:tc>
          <w:p>
            <w:pPr>
              <w:spacing w:beforeAutospacing="true" w:afterAutospacing="true"/>
              <w:jc w:val="left"/>
            </w:pPr>
            <w:r>
              <w:rPr>
                <w:rFonts w:ascii="Calibri" w:hAnsi="Calibri"/>
                <w:color w:val=""/>
                <w:sz w:val="22"/>
              </w:rPr>
              <w:t xml:space="preserve">Community Project Funding, and Miscellaneous Grants</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$1,385,000.00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$3,201,000.00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p>
            <w:pPr>
              <w:spacing w:beforeAutospacing="true" w:afterAutospacing="true"/>
              <w:jc w:val="left"/>
            </w:pPr>
            <w:r>
              <w:rPr>
                <w:rFonts w:ascii="Calibri" w:hAnsi="Calibri"/>
                <w:color w:val=""/>
                <w:sz w:val="22"/>
              </w:rPr>
              <w:t xml:space="preserve">Airport Hazards</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Project is not within 15,000 feet of a military airport or 2,500 feet of a civilian airport</w:t>
            </w:r>
          </w:p>
        </w:tc>
      </w:tr>
      <w:tr>
        <w:tc>
          <w:p>
            <w:pPr>
              <w:spacing w:beforeAutospacing="true" w:afterAutospacing="true"/>
              <w:jc w:val="left"/>
            </w:pPr>
            <w:r>
              <w:rPr>
                <w:rFonts w:ascii="Calibri" w:hAnsi="Calibri"/>
                <w:color w:val=""/>
                <w:sz w:val="22"/>
              </w:rPr>
              <w:t xml:space="preserve">Coastal Barrier Resources Act </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Project is not located in a designated coastal zone</w:t>
            </w:r>
          </w:p>
        </w:tc>
      </w:tr>
      <w:tr>
        <w:tc>
          <w:p>
            <w:pPr>
              <w:spacing w:beforeAutospacing="true" w:afterAutospacing="true"/>
              <w:jc w:val="left"/>
            </w:pPr>
            <w:r>
              <w:rPr>
                <w:rFonts w:ascii="Calibri" w:hAnsi="Calibri"/>
                <w:color w:val=""/>
                <w:sz w:val="22"/>
              </w:rPr>
              <w:t xml:space="preserve">Flood Insurance</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Project does not involve mortgage insurance, refinance, acquisition, repairs, rehabilitation, or construction of a structure, mobile home, or insurable personal property. No structures are being constructed.</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p>
            <w:pPr>
              <w:spacing w:beforeAutospacing="true" w:afterAutospacing="true"/>
              <w:jc w:val="left"/>
            </w:pPr>
            <w:r>
              <w:rPr>
                <w:rFonts w:ascii="Calibri" w:hAnsi="Calibri"/>
                <w:color w:val=""/>
                <w:sz w:val="22"/>
              </w:rPr>
              <w:t xml:space="preserve">Air Quality</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Project does not involve new construction or conversion of land use so emissions are below de minimis levels and the project is in compliance with the Act.</w:t>
            </w:r>
          </w:p>
        </w:tc>
      </w:tr>
      <w:tr>
        <w:tc>
          <w:p>
            <w:pPr>
              <w:spacing w:beforeAutospacing="true" w:afterAutospacing="true"/>
              <w:jc w:val="left"/>
            </w:pPr>
            <w:r>
              <w:rPr>
                <w:rFonts w:ascii="Calibri" w:hAnsi="Calibri"/>
                <w:color w:val=""/>
                <w:sz w:val="22"/>
              </w:rPr>
              <w:t xml:space="preserve">Coastal Zone Management Act</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Project is not located in a designated coastal zone</w:t>
            </w:r>
          </w:p>
        </w:tc>
      </w:tr>
      <w:tr>
        <w:tc>
          <w:p>
            <w:pPr>
              <w:spacing w:beforeAutospacing="true" w:afterAutospacing="true"/>
              <w:jc w:val="left"/>
            </w:pPr>
            <w:r>
              <w:rPr>
                <w:rFonts w:ascii="Calibri" w:hAnsi="Calibri"/>
                <w:color w:val=""/>
                <w:sz w:val="22"/>
              </w:rPr>
              <w:t xml:space="preserve">Contamination and Toxic Substances</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No structures are being constructed. No occupants are anticipated. No toxic, hazardous or radioactive substances are in the project area.</w:t>
            </w:r>
          </w:p>
        </w:tc>
      </w:tr>
      <w:tr>
        <w:tc>
          <w:p>
            <w:pPr>
              <w:spacing w:beforeAutospacing="true" w:afterAutospacing="true"/>
              <w:jc w:val="left"/>
            </w:pPr>
            <w:r>
              <w:rPr>
                <w:rFonts w:ascii="Calibri" w:hAnsi="Calibri"/>
                <w:color w:val=""/>
                <w:sz w:val="22"/>
              </w:rPr>
              <w:t xml:space="preserve">Endangered Species Act</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Federally listed species in the area include Sierra Nevada Yellow-legged Frog, Sierra Nevada Red Fox as well as threatened Lahontan Cutthroat Trout, and candidate Monarch Butterfly. No rare or endangered plants are present in the Project Area. See reports for adjacent Burke Creek Rabe Meadow Riparian Restoration Project. The project does not have any activities that would affect any endangered, threatened, or candidate species. The project has no effect on federally listed species or designated critical habitat.</w:t>
            </w:r>
          </w:p>
        </w:tc>
      </w:tr>
      <w:tr>
        <w:tc>
          <w:p>
            <w:pPr>
              <w:spacing w:beforeAutospacing="true" w:afterAutospacing="true"/>
              <w:jc w:val="left"/>
            </w:pPr>
            <w:r>
              <w:rPr>
                <w:rFonts w:ascii="Calibri" w:hAnsi="Calibri"/>
                <w:color w:val=""/>
                <w:sz w:val="22"/>
              </w:rPr>
              <w:t xml:space="preserve">Explosive and Flammable Hazards</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No liquefied gas or propane is a part of this project.</w:t>
            </w:r>
          </w:p>
        </w:tc>
      </w:tr>
      <w:tr>
        <w:tc>
          <w:p>
            <w:pPr>
              <w:spacing w:beforeAutospacing="true" w:afterAutospacing="true"/>
              <w:jc w:val="left"/>
            </w:pPr>
            <w:r>
              <w:rPr>
                <w:rFonts w:ascii="Calibri" w:hAnsi="Calibri"/>
                <w:color w:val=""/>
                <w:sz w:val="22"/>
              </w:rPr>
              <w:t xml:space="preserve">Farmlands Protection</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The project does not include any activities that could potentially convert one land use to another. The project has no farmland in the vicinity.</w:t>
            </w:r>
          </w:p>
        </w:tc>
      </w:tr>
      <w:tr>
        <w:tc>
          <w:p>
            <w:pPr>
              <w:spacing w:beforeAutospacing="true" w:afterAutospacing="true"/>
              <w:jc w:val="left"/>
            </w:pPr>
            <w:r>
              <w:rPr>
                <w:rFonts w:ascii="Calibri" w:hAnsi="Calibri"/>
                <w:color w:val=""/>
                <w:sz w:val="22"/>
              </w:rPr>
              <w:t xml:space="preserve">Floodplain Management</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The project does not construct any structures in a floodplain or cause adverse impacts to a floodplain.</w:t>
            </w:r>
          </w:p>
        </w:tc>
      </w:tr>
      <w:tr>
        <w:tc>
          <w:p>
            <w:pPr>
              <w:spacing w:beforeAutospacing="true" w:afterAutospacing="true"/>
              <w:jc w:val="left"/>
            </w:pPr>
            <w:r>
              <w:rPr>
                <w:rFonts w:ascii="Calibri" w:hAnsi="Calibri"/>
                <w:color w:val=""/>
                <w:sz w:val="22"/>
              </w:rPr>
              <w:t xml:space="preserve">Historic Preservation</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Consultation with Washoe Tribe of Nevada and SHPO of Nevada via letter sent 4/3/2023 and as of 5/5/23, no response was received. No historic properties will be affected by the project since the project is road reconstruction and outside any culturally significant polygons identified in the area.</w:t>
            </w:r>
          </w:p>
        </w:tc>
      </w:tr>
      <w:tr>
        <w:tc>
          <w:p>
            <w:pPr>
              <w:spacing w:beforeAutospacing="true" w:afterAutospacing="true"/>
              <w:jc w:val="left"/>
            </w:pPr>
            <w:r>
              <w:rPr>
                <w:rFonts w:ascii="Calibri" w:hAnsi="Calibri"/>
                <w:color w:val=""/>
                <w:sz w:val="22"/>
              </w:rPr>
              <w:t xml:space="preserve">Noise Abatement and Control</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The project is in acceptable noise compliance according to the Tahoe Regional Planning Agency. There are no potential noise generators in the vicinity of the project.</w:t>
            </w:r>
          </w:p>
        </w:tc>
      </w:tr>
      <w:tr>
        <w:tc>
          <w:p>
            <w:pPr>
              <w:spacing w:beforeAutospacing="true" w:afterAutospacing="true"/>
              <w:jc w:val="left"/>
            </w:pPr>
            <w:r>
              <w:rPr>
                <w:rFonts w:ascii="Calibri" w:hAnsi="Calibri"/>
                <w:color w:val=""/>
                <w:sz w:val="22"/>
              </w:rPr>
              <w:t xml:space="preserve">Sole Source Aquifers</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The project is not located on a sole source aquifer and also does not increase water use or result in contamination of any aquifer or drinking water sources.</w:t>
            </w:r>
          </w:p>
        </w:tc>
      </w:tr>
      <w:tr>
        <w:tc>
          <w:p>
            <w:pPr>
              <w:spacing w:beforeAutospacing="true" w:afterAutospacing="true"/>
              <w:jc w:val="left"/>
            </w:pPr>
            <w:r>
              <w:rPr>
                <w:rFonts w:ascii="Calibri" w:hAnsi="Calibri"/>
                <w:color w:val=""/>
                <w:sz w:val="22"/>
              </w:rPr>
              <w:t xml:space="preserve">Wetlands Protection</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See attached Wetlands Report. There are wetlands in the vicinity they have been delineated. The road footprint within the mapped wetland only shifts 5 feet to the north.</w:t>
            </w:r>
          </w:p>
        </w:tc>
      </w:tr>
      <w:tr>
        <w:tc>
          <w:p>
            <w:pPr>
              <w:spacing w:beforeAutospacing="true" w:afterAutospacing="true"/>
              <w:jc w:val="left"/>
            </w:pPr>
            <w:r>
              <w:rPr>
                <w:rFonts w:ascii="Calibri" w:hAnsi="Calibri"/>
                <w:color w:val=""/>
                <w:sz w:val="22"/>
              </w:rPr>
              <w:t xml:space="preserve">Wild and Scenic Rivers Act</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The project is not within the proximity of a NWSRS river.</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p>
            <w:pPr>
              <w:spacing w:beforeAutospacing="true" w:afterAutospacing="true"/>
              <w:jc w:val="left"/>
            </w:pPr>
            <w:r>
              <w:rPr>
                <w:rFonts w:ascii="Calibri" w:hAnsi="Calibri"/>
                <w:color w:val=""/>
                <w:sz w:val="22"/>
              </w:rPr>
              <w:t xml:space="preserve">Environmental Justice</w:t>
            </w:r>
          </w:p>
        </w:tc>
        <w:tc>
          <w:p>
            <w:pPr>
              <w:spacing w:beforeAutospacing="true" w:afterAutospacing="true"/>
              <w:jc w:val="left"/>
            </w:pPr>
            <w:r>
              <w:rPr>
                <w:rFonts w:ascii="Calibri" w:hAnsi="Calibri"/>
                <w:i w:val="false"/>
                <w:color w:val=""/>
                <w:sz w:val="22"/>
              </w:rPr>
              <w:sym w:font="Wingdings" w:char="F0FE"/>
            </w:r>
            <w:r>
              <w:rPr>
                <w:rFonts w:ascii="Calibri" w:hAnsi="Calibri"/>
                <w:color w:val=""/>
                <w:sz w:val="22"/>
              </w:rPr>
              <w:t xml:space="preserve">  Yes    </w:t>
            </w:r>
            <w:r>
              <w:rPr>
                <w:rFonts w:ascii="Calibri" w:hAnsi="Calibri"/>
                <w:i w:val="false"/>
                <w:color w:val=""/>
                <w:sz w:val="22"/>
              </w:rPr>
              <w:sym w:font="Wingdings" w:char="F0A8"/>
            </w:r>
            <w:r>
              <w:rPr>
                <w:rFonts w:ascii="Calibri" w:hAnsi="Calibri"/>
                <w:color w:val=""/>
                <w:sz w:val="22"/>
              </w:rPr>
              <w:t xml:space="preserve">  No</w:t>
            </w:r>
          </w:p>
        </w:tc>
        <w:tc>
          <w:p>
            <w:pPr>
              <w:spacing w:beforeAutospacing="true" w:afterAutospacing="true"/>
              <w:jc w:val="left"/>
            </w:pPr>
            <w:r>
              <w:rPr>
                <w:rFonts w:ascii="Calibri" w:hAnsi="Calibri"/>
                <w:color w:val=""/>
                <w:sz w:val="22"/>
              </w:rPr>
              <w:t xml:space="preserve">See attached environmental justice memo. The project does not create adverse environmental or human health impacts.</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hyperlink r:id="rId15">
        <w:r>
          <w:rPr>
            <w:rStyle w:val="Hyperlink"/>
          </w:rPr>
          <w:t>BurkeCreek_Veg_BE_26Feb2023_R0_clean.pdf</w:t>
        </w:r>
      </w:hyperlink>
    </w:p>
    <w:p>
      <w:pPr>
        <w:rPr>
          <w:rFonts w:ascii="Calibri" w:hAnsi="Calibri"/>
          <w:iCs/>
          <w:sz w:val="22"/>
          <w:szCs w:val="22"/>
        </w:rPr>
      </w:pPr>
      <w:hyperlink r:id="rId16">
        <w:r>
          <w:rPr>
            <w:rStyle w:val="Hyperlink"/>
          </w:rPr>
          <w:t>Burke_Wildlife_DraftBE_6Feb2023_R0_clean.pdf</w:t>
        </w:r>
      </w:hyperlink>
    </w:p>
    <w:p>
      <w:pPr>
        <w:rPr>
          <w:rFonts w:ascii="Calibri" w:hAnsi="Calibri"/>
          <w:iCs/>
          <w:sz w:val="22"/>
          <w:szCs w:val="22"/>
        </w:rPr>
      </w:pPr>
      <w:hyperlink r:id="rId17">
        <w:r>
          <w:rPr>
            <w:rStyle w:val="Hyperlink"/>
          </w:rPr>
          <w:t>Kahle Complete Street Project ELJ Memo.pdf</w:t>
        </w:r>
      </w:hyperlink>
    </w:p>
    <w:p>
      <w:pPr>
        <w:rPr>
          <w:rFonts w:ascii="Calibri" w:hAnsi="Calibri"/>
          <w:iCs/>
          <w:sz w:val="22"/>
          <w:szCs w:val="22"/>
        </w:rPr>
      </w:pPr>
      <w:hyperlink r:id="rId18">
        <w:r>
          <w:rPr>
            <w:rStyle w:val="Hyperlink"/>
          </w:rPr>
          <w:t>32005C0205G.png</w:t>
        </w:r>
      </w:hyperlink>
    </w:p>
    <w:p>
      <w:pPr>
        <w:rPr>
          <w:rFonts w:ascii="Calibri" w:hAnsi="Calibri"/>
          <w:iCs/>
          <w:sz w:val="22"/>
          <w:szCs w:val="22"/>
        </w:rPr>
      </w:pPr>
      <w:hyperlink r:id="rId19">
        <w:r>
          <w:rPr>
            <w:rStyle w:val="Hyperlink"/>
          </w:rPr>
          <w:t>SHPO Consultation Letter KDCS w attachments.pdf</w:t>
        </w:r>
      </w:hyperlink>
    </w:p>
    <w:p>
      <w:pPr>
        <w:rPr>
          <w:rFonts w:ascii="Calibri" w:hAnsi="Calibri"/>
          <w:iCs/>
          <w:sz w:val="22"/>
          <w:szCs w:val="22"/>
        </w:rPr>
      </w:pPr>
      <w:hyperlink r:id="rId20">
        <w:r>
          <w:rPr>
            <w:rStyle w:val="Hyperlink"/>
          </w:rPr>
          <w:t>Tribal Consultation Letter KDCS w attachments.pdf</w:t>
        </w:r>
      </w:hyperlink>
    </w:p>
    <w:p>
      <w:pPr>
        <w:rPr>
          <w:rFonts w:ascii="Calibri" w:hAnsi="Calibri"/>
          <w:iCs/>
          <w:sz w:val="22"/>
          <w:szCs w:val="22"/>
        </w:rPr>
      </w:pPr>
      <w:hyperlink r:id="rId21">
        <w:r>
          <w:rPr>
            <w:rStyle w:val="Hyperlink"/>
          </w:rPr>
          <w:t>email sent to Washoe Tribe.pdf</w:t>
        </w:r>
      </w:hyperlink>
    </w:p>
    <w:p>
      <w:pPr>
        <w:rPr>
          <w:rFonts w:ascii="Calibri" w:hAnsi="Calibri"/>
          <w:iCs/>
          <w:sz w:val="22"/>
          <w:szCs w:val="22"/>
        </w:rPr>
      </w:pPr>
      <w:hyperlink r:id="rId22">
        <w:r>
          <w:rPr>
            <w:rStyle w:val="Hyperlink"/>
          </w:rPr>
          <w:t>Wetland Memo for Kahle Complete Street March 2023.pdf</w:t>
        </w:r>
      </w:hyperlink>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hyperlink r:id="rId23">
        <w:r>
          <w:rPr>
            <w:rStyle w:val="Hyperlink"/>
          </w:rPr>
          <w:t>KDCS Part-58-Tiered-Format signed.pdf</w:t>
        </w:r>
      </w:hyperlink>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05/05/2023 19:26</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5</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Kahle-Drive-Complete-Street</w:t>
          </w:r>
        </w:p>
      </w:tc>
      <w:tc>
        <w:tcPr>
          <w:tcW w:w="3192" w:type="dxa"/>
        </w:tcPr>
        <w:p>
          <w:pPr>
            <w:pStyle w:val="Footer"/>
            <w:jc w:val="center"/>
          </w:pPr>
          <w:r>
            <w:t>Stateline, NV</w:t>
          </w:r>
        </w:p>
      </w:tc>
      <w:tc>
        <w:tcPr>
          <w:tcW w:w="3192" w:type="dxa"/>
        </w:tcPr>
        <w:p>
          <w:pPr>
            <w:pStyle w:val="Footer"/>
            <w:jc w:val="right"/>
          </w:pPr>
          <w:r>
            <w:t>900000010321831</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savePreviewPicture/>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1F94"/>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2D1"/>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A4D2B"/>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A604A"/>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1">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heros.hud.gov/heros/faces/downloadFile.xhtml?erUploadId=900000011698339" Type="http://schemas.openxmlformats.org/officeDocument/2006/relationships/hyperlink" Id="rId13"/><Relationship TargetMode="External" Target="https://heros.hud.gov/heros/faces/downloadFile.xhtml?erUploadId=900000011707048" Type="http://schemas.openxmlformats.org/officeDocument/2006/relationships/hyperlink" Id="rId14"/><Relationship TargetMode="External" Target="https://heros.hud.gov/heros/faces/downloadFile.xhtml?erUploadId=900000011698366" Type="http://schemas.openxmlformats.org/officeDocument/2006/relationships/hyperlink" Id="rId15"/><Relationship TargetMode="External" Target="https://heros.hud.gov/heros/faces/downloadFile.xhtml?erUploadId=900000011698365" Type="http://schemas.openxmlformats.org/officeDocument/2006/relationships/hyperlink" Id="rId16"/><Relationship TargetMode="External" Target="https://heros.hud.gov/heros/faces/downloadFile.xhtml?erUploadId=900000011698402" Type="http://schemas.openxmlformats.org/officeDocument/2006/relationships/hyperlink" Id="rId17"/><Relationship TargetMode="External" Target="https://heros.hud.gov/heros/faces/downloadFile.xhtml?erUploadId=900000011698374" Type="http://schemas.openxmlformats.org/officeDocument/2006/relationships/hyperlink" Id="rId18"/><Relationship TargetMode="External" Target="https://heros.hud.gov/heros/faces/downloadFile.xhtml?erUploadId=900000011698393" Type="http://schemas.openxmlformats.org/officeDocument/2006/relationships/hyperlink" Id="rId19"/><Relationship TargetMode="External" Target="https://heros.hud.gov/heros/faces/downloadFile.xhtml?erUploadId=900000011698378" Type="http://schemas.openxmlformats.org/officeDocument/2006/relationships/hyperlink" Id="rId20"/><Relationship TargetMode="External" Target="https://heros.hud.gov/heros/faces/downloadFile.xhtml?erUploadId=900000011698377" Type="http://schemas.openxmlformats.org/officeDocument/2006/relationships/hyperlink" Id="rId21"/><Relationship TargetMode="External" Target="https://heros.hud.gov/heros/faces/downloadFile.xhtml?erUploadId=900000011698399" Type="http://schemas.openxmlformats.org/officeDocument/2006/relationships/hyperlink" Id="rId22"/><Relationship TargetMode="External" Target="https://heros.hud.gov/heros/faces/downloadFile.xhtml?erUploadId=900000011707046" Type="http://schemas.openxmlformats.org/officeDocument/2006/relationships/hyperlink" Id="rId23"/></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36C5E333-16F7-401E-93B3-FE84CA60BED1}">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7918</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Olivier Leblond</cp:lastModifiedBy>
  <dcterms:modified xmlns:xsi="http://www.w3.org/2001/XMLSchema-instance" xsi:type="dcterms:W3CDTF">2023-01-03T14:37:00Z</dcterms:modified>
  <cp:revision>604</cp:revision>
  <dc:subject/>
  <dc:title>&lt;TYPE=[section 4] REPORT_GUID=[B2A873E9444FB1CDF0F4CD88464F8B0C]&gt;</dc:title>
</cp:coreProperties>
</file>